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112 BbgWG (Brandenburg) — Deichschau</w:t>
      </w:r>
    </w:p>
    <w:p>
      <w:r>
        <w:rPr>
          <w:color w:val="555555"/>
          <w:sz w:val="18"/>
        </w:rPr>
        <w:t xml:space="preserve">Brandenburgisches Wassergesetz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Die Bestimmungen des § 111 sind auf Deiche sinngemäß anzuwenden. Den zur Deichunterhaltung Verpflichteten und den Eigentümern der Deiche ist Gelegenheit zur Teilnahme und zur Äußerung zu geben.</w:t>
      </w:r>
    </w:p>
    <w:p>
      <w:r>
        <w:rPr>
          <w:color w:val="555555"/>
          <w:sz w:val="17"/>
        </w:rPr>
        <w:t xml:space="preserve">Zitiervorschlag: § 112 BbgWG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https://recht.nulegal.eu/gesetze/BbgWG/112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