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BbgWG (Brandenburg) — Aufgaben der Wasserbehörden (zu § 100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Gewässeraufsicht nach § 100 des Wasserhaushaltsgesetzes obliegt den Wasserbehörden im Rahmen ihrer Zuständigkeit nach § 126 Absatz 1, soweit nicht im Einzelnen etwas anderes bestimmt ist. Das gilt auch für die Anordnung und Durchsetzung von Maßnahmen gegenüber einem Gewässerunterhaltungsverband.</w:t>
      </w:r>
    </w:p>
    <w:p>
      <w:r>
        <w:t xml:space="preserve">(2) Die nach Absatz 1 zuständigen Behörden sind Sonderordnungsbehörden. Sie haben im Rahmen ihrer Aufgaben zugleich die Befugnisse von Ordnungsbehörden nach dem Ordnungsbehördengesetz.</w:t>
      </w:r>
    </w:p>
    <w:p>
      <w:r>
        <w:rPr>
          <w:color w:val="555555"/>
          <w:sz w:val="17"/>
        </w:rPr>
        <w:t xml:space="preserve">Zitiervorschlag: § 103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https://recht.nulegal.eu/gesetze/BbgWG/103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