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BbgWG (Brandenburg) — Vorländer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es zur Wiederherstellung eines ausreichenden Hochwasserabflussprofils erforderlich ist, obliegt dem gemäß § 126 Absatz 3 Zuständigen in Vorländern nach § 100 Absatz 1 die Beseitigung von Vorlandaufhöhungen. Die Eigentümer und Nutzungsberechtigten haben die Maßnahmen zu dulden.</w:t>
      </w:r>
    </w:p>
    <w:p>
      <w:r>
        <w:t xml:space="preserve">(2) Durch die Nutzung der Vorländer dürfen Belange des Hochwasserschutzes, insbesondere der schadlose Hochwasserabfluss, nicht beeinträchtigt werden. Die zuständige Wasserbehörde kann gegenüber dem Eigentümer oder Nutzungsberechtigten anordnen, dass</w:t>
      </w:r>
    </w:p>
    <w:p>
      <w:r>
        <w:t xml:space="preserve">Gegenstände und Bewuchs, die den Wasserabfluss hindern können, zu beseitigen sind,</w:t>
      </w:r>
    </w:p>
    <w:p>
      <w:r>
        <w:t xml:space="preserve">Grundstücke so zu bewirtschaften sind, wie es zum schadlosen Abfluss des Hochwassers, insbesondere zur Vermeidung von Abflusshindernissen und von Bodenabschwemmungen, erforderlich ist.</w:t>
      </w:r>
    </w:p>
    <w:p>
      <w:r>
        <w:rPr>
          <w:color w:val="555555"/>
          <w:sz w:val="17"/>
        </w:rPr>
        <w:t xml:space="preserve">Zitiervorschlag: § 102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https://recht.nulegal.eu/gesetze/BbgWG/102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