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BbgWG (Brandenburg) — Überflutung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an Gewässern, die nicht als selbständige Grundstücke ausgewiesen sind, Ufergrundstücke oder dahinterliegende Grundstücke durch natürliche Ereignisse dauernd überflutet, findet § 6 Absatz 2 Anwendung.</w:t>
      </w:r>
    </w:p>
    <w:p>
      <w:r>
        <w:t xml:space="preserve">(2) Werden an Gewässern, die als selbständige Grundstücke ausgewiesen sind, die Voraussetzungen des Absatzes 1 erfüllt, dann wächst das Eigentum an den überfluteten Flächen dem Gewässereigentümer zu. Die neue Grenze zwischen dem Gewässer und dem Ufergrundstück ist die neue Uferlinie.</w:t>
      </w:r>
    </w:p>
    <w:p>
      <w:r>
        <w:t xml:space="preserve">(3) Werden an Gewässern II. Ordnung Grundstücke bei Mittelwasserstand durch künstliche Einwirkungen dauernd überflutet, treten die Rechtsfolgen nach den Absätzen 1 und 2 nur ein, wenn diese auf rechtlich zulässige Weise herbeigeführt worden sind. In diesem Fall hat derjenige, der die Überflutungen verursacht hat, den früheren Eigentümer zu entschädigen.</w:t>
      </w:r>
    </w:p>
    <w:p>
      <w:r>
        <w:rPr>
          <w:color w:val="555555"/>
          <w:sz w:val="17"/>
        </w:rPr>
        <w:t xml:space="preserve">Zitiervorschlag: § 10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