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BbgWEAAbG (Brandenburg) — Inkrafttreten</w:t>
      </w:r>
    </w:p>
    <w:p>
      <w:r>
        <w:rPr>
          <w:color w:val="555555"/>
          <w:sz w:val="18"/>
        </w:rPr>
        <w:t xml:space="preserve">Brandenburgisches Windenergieanlagenabstandsgesetz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t xml:space="preserve">Potsdam, den 20. Mai 2022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rPr>
          <w:color w:val="555555"/>
          <w:sz w:val="17"/>
        </w:rPr>
        <w:t xml:space="preserve">Zitiervorschlag: § 3 BbgWEAAbG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https://recht.nulegal.eu/gesetze/BbgWEAAbG/3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