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BbgWDüngMeldeV (Brandenburg) — Datenspeicherung</w:t>
      </w:r>
    </w:p>
    <w:p>
      <w:r>
        <w:rPr>
          <w:color w:val="555555"/>
          <w:sz w:val="18"/>
        </w:rPr>
        <w:t xml:space="preserve">Brandenburgische Wirtschaftsdüngermeldeverordnung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nach den §§ 1 und 2 gemeldeten Daten sind sieben Jahre nach dem Ablauf des Düngejahres in der Datenbank zu speichern.</w:t>
      </w:r>
    </w:p>
    <w:p>
      <w:r>
        <w:rPr>
          <w:color w:val="555555"/>
          <w:sz w:val="17"/>
        </w:rPr>
        <w:t xml:space="preserve">Zitiervorschlag: § 3 BbgWDüngMeldeV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https://recht.nulegal.eu/gesetze/BbgWD%C3%BCngMeldeV/3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