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 BbgWBauPV (Brandenburg)</w:t>
      </w:r>
    </w:p>
    <w:p>
      <w:r>
        <w:rPr>
          <w:color w:val="555555"/>
          <w:sz w:val="18"/>
        </w:rPr>
        <w:t xml:space="preserve">Brandenburgische Wasserbauprüfverordnung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02.08.2026 (konsolidierte Textfassung, kein amtliches Inkrafttretensdatum)</w:t>
      </w:r>
    </w:p>
    <w:p>
      <w:r>
        <w:t xml:space="preserve">16b Absatz 2 der Brandenburgischen Bauordnung bleibt unberührt. § 1 dieser Verordnung findet keine</w:t>
      </w:r>
    </w:p>
    <w:p>
      <w:r>
        <w:t xml:space="preserve">Anwendung auf Bauprodukte, die die CE-Kennzeichnung aufgrund der Verordnung (EU) Nr. 305/2011 des Europäischen Parlaments und des Rates vom 9. März 2011 zur Festlegung harmonisierter Bedingungen für die Vermarktung von Bauprodukten und zur Aufhebung der Richtlinie 89/106/EWG des Rates ( ABl. L 88 vom 4.4.2011, S. 5, ABl. L 103 vom 12.4.2013, S. 10, ABl. L 92 vom 8.4.2015, S. 118), die zuletzt durch die Verordnung (EU) Nr. 2019/1020 vom 20.6.2019 (ABl. L 169 vom 25.6.2019, S. 1) geändert worden ist, tragen.“</w:t>
      </w:r>
    </w:p>
    <w:p>
      <w:r>
        <w:rPr>
          <w:color w:val="555555"/>
          <w:sz w:val="17"/>
        </w:rPr>
        <w:t xml:space="preserve">Zitiervorschlag: § 2 BbgWBauPV (Brandenburg)</w:t>
      </w:r>
    </w:p>
    <w:p>
      <w:r>
        <w:rPr>
          <w:color w:val="555555"/>
          <w:sz w:val="17"/>
        </w:rPr>
        <w:t xml:space="preserve">Quelle: bravors, abgerufen 02.08.2026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https://recht.nulegal.eu/gesetze/BbgWBauPV/2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