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BbgVwZG (Brandenburg) — Inkrafttreten</w:t>
      </w:r>
    </w:p>
    <w:p>
      <w:r>
        <w:rPr>
          <w:color w:val="555555"/>
          <w:sz w:val="18"/>
        </w:rPr>
        <w:t xml:space="preserve">Verwaltungszustellungsgesetz für das Land Brandenburg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Das Gesetz tritt am Tage nach seiner Verkündung in Kraft.</w:t>
      </w:r>
    </w:p>
    <w:p>
      <w:r>
        <w:rPr>
          <w:color w:val="555555"/>
          <w:sz w:val="17"/>
        </w:rPr>
        <w:t xml:space="preserve">Zitiervorschlag: § 6 BbgVwZG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https://recht.nulegal.eu/gesetze/BbgVwZG/6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