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BbgVwZG (Brandenburg) — Geltungsbereich und Erfordernis der Zustellung</w:t>
      </w:r>
    </w:p>
    <w:p>
      <w:r>
        <w:rPr>
          <w:color w:val="555555"/>
          <w:sz w:val="18"/>
        </w:rPr>
        <w:t xml:space="preserve">Verwaltungszustellungsgesetz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das Zustellungsverfahren der Landesbehörden, der Einrichtungen des Landes</w:t>
      </w:r>
    </w:p>
    <w:p>
      <w:r>
        <w:t xml:space="preserve">und der Landesbetriebe, der Gemeinden und Gemeindeverbände und der</w:t>
      </w:r>
    </w:p>
    <w:p>
      <w:r>
        <w:t xml:space="preserve">sonstigen der Aufsicht des Landes unterstehenden Körperschaften sowie</w:t>
      </w:r>
    </w:p>
    <w:p>
      <w:r>
        <w:t xml:space="preserve">Anstalten und Stiftungen des öffentlichen Rechts, mit Ausnahme der</w:t>
      </w:r>
    </w:p>
    <w:p>
      <w:r>
        <w:t xml:space="preserve">Landesfinanzbehörden, gelten die Vorschriften der §§ 2 bis 10</w:t>
      </w:r>
    </w:p>
    <w:p>
      <w:r>
        <w:t xml:space="preserve">des Verwaltungszustellungsgesetzes vom 12. August 2005 (BGBl. I S. 2354) in der</w:t>
      </w:r>
    </w:p>
    <w:p>
      <w:r>
        <w:t xml:space="preserve">jeweils geltenden Fassung.</w:t>
      </w:r>
    </w:p>
    <w:p>
      <w:r>
        <w:t xml:space="preserve">(2) Zugestellt wird, soweit dies durch Rechtsvorschrift oder</w:t>
      </w:r>
    </w:p>
    <w:p>
      <w:r>
        <w:t xml:space="preserve">behördliche Anordnung bestimmt ist.</w:t>
      </w:r>
    </w:p>
    <w:p>
      <w:r>
        <w:rPr>
          <w:color w:val="555555"/>
          <w:sz w:val="17"/>
        </w:rPr>
        <w:t xml:space="preserve">Zitiervorschlag: § 1 BbgVwZG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https://recht.nulegal.eu/gesetze/BbgVwZG/1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