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Behörden sind in Verfahren vor den Gerichten der Verwaltungsgerichtsbarkeit beteiligungsfähig.</w:t>
      </w:r>
    </w:p>
    <w:p>
      <w:r>
        <w:t xml:space="preserve">(2) Anfechtungsklagen und Verpflichtungsklagen sind gegen die Behörde zu richten, die den angefochtenen Verwaltungsakt erlassen oder den beantragten Verwaltungsakt unterlassen hat. Dies gilt nicht für Klagen im Sinne von § 52 Nr. 4 der Verwaltungsgerichtsordnung.</w:t>
      </w:r>
    </w:p>
    <w:p>
      <w:r>
        <w:t xml:space="preserve">(3) In Angelegenheiten, die den kreisangehörigen Gemeinden und den Ämtern als Pflichtaufgaben zur Erfüllung nach Weisung übertragen sind, erläßt die Aufsichtsbehörde den Widerspruchsbescheid.</w:t>
      </w:r>
    </w:p>
    <w:p>
      <w:r>
        <w:rPr>
          <w:color w:val="555555"/>
          <w:sz w:val="17"/>
        </w:rPr>
        <w:t xml:space="preserve">Zitiervorschlag: § 8 BbgVwGG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