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BbgVwGG (Brandenburg)</w:t>
      </w:r>
    </w:p>
    <w:p>
      <w:r>
        <w:rPr>
          <w:color w:val="555555"/>
          <w:sz w:val="18"/>
        </w:rPr>
        <w:t xml:space="preserve">Brandenburgisches Verwaltungsgerichtsgesetz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die Wahl der Vertrauensleute des Ausschusses zur Wahl der ehrenamtlichen Richterinnen und Richter und deren Stellvertretung (§ 26 Abs. 2 der Verwaltungsgerichtsordnung) gelten die §§ 24 und 25 der Verwaltungsgerichtsordnung entsprechend.</w:t>
      </w:r>
    </w:p>
    <w:p>
      <w:r>
        <w:rPr>
          <w:color w:val="555555"/>
          <w:sz w:val="17"/>
        </w:rPr>
        <w:t xml:space="preserve">Zitiervorschlag: § 7 BbgVwGG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https://recht.nulegal.eu/gesetze/BbgVwGG/7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