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BbgVwGG (Brandenburg)</w:t>
      </w:r>
    </w:p>
    <w:p>
      <w:r>
        <w:rPr>
          <w:color w:val="555555"/>
          <w:sz w:val="18"/>
        </w:rPr>
        <w:t xml:space="preserve">Brandenburgisches Verwaltungsgerichtsgesetz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Oberverwaltungsgericht ist in Normenkontrollverfahren nach § 47 der Verwaltungsgerichtsordnung auch zur Entscheidung über die Gültigkeit einer anderen im Range unter dem Landesgesetz stehenden Rechtsvorschrift zuständig.</w:t>
      </w:r>
    </w:p>
    <w:p>
      <w:r>
        <w:t xml:space="preserve">(2) Das Oberverwaltungsgericht entscheidet im ersten Rechtszug auch über Streitigkeiten, die Besitzeinweisungen in den Fällen des § 48 Abs. 1 Satz 1 der Verwaltungsgerichtsordnung betreffen.</w:t>
      </w:r>
    </w:p>
    <w:p>
      <w:r>
        <w:t xml:space="preserve">(3) Entscheidungen des Oberverwaltungsgerichts ergehen in der Besetzung von drei Berufsrichterinnen oder Berufsrichtern und zwei ehrenamtlichen Richterinnen oder Richtern. Bei Beschlüssen außerhalb der mündlichen Verhandlung wirken die ehrenamtlichen Richterinnen oder Richter nicht mit.</w:t>
      </w:r>
    </w:p>
    <w:p>
      <w:r>
        <w:rPr>
          <w:color w:val="555555"/>
          <w:sz w:val="17"/>
        </w:rPr>
        <w:t xml:space="preserve">Zitiervorschlag: § 4 BbgVwGG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https://recht.nulegal.eu/gesetze/BbgVwGG/4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