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Verwaltungsgerichte werden eingerichtet</w:t>
      </w:r>
    </w:p>
    <w:p>
      <w:r>
        <w:t xml:space="preserve">in Cottbus für das Gebiet der kreisfreien Stadt Cottbus sowie für die Landkreise Dahme-Spreewald, Elbe-Elster, Oberspreewald-Lausitz und Spree-Neiße,</w:t>
      </w:r>
    </w:p>
    <w:p>
      <w:r>
        <w:t xml:space="preserve">in Frankfurt (Oder) für das Gebiet der kreisfreien Stadt Frankfurt (Oder) sowie für die Landkreise Barnim, Märkisch-Oderland und Oder-Spree,</w:t>
      </w:r>
    </w:p>
    <w:p>
      <w:r>
        <w:t xml:space="preserve">in Potsdam für das Gebiet der kreisfreien Städte Brandenburg an der Havel und Potsdam sowie für die Landkreise Prignitz, Ostprignitz-Ruppin, Oberhavel, Uckermark, Havelland, Potsdam-Mittelmark und Teltow-Fläming.</w:t>
      </w:r>
    </w:p>
    <w:p>
      <w:r>
        <w:t xml:space="preserve">(2) Die Verwaltungsgerichte werden nach ihrem Sitz benannt.</w:t>
      </w:r>
    </w:p>
    <w:p>
      <w:r>
        <w:rPr>
          <w:color w:val="555555"/>
          <w:sz w:val="17"/>
        </w:rPr>
        <w:t xml:space="preserve">Zitiervorschlag: § 2 BbgVwGG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https://recht.nulegal.eu/gesetze/BbgVwGG/2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