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BbgVwGG (Brandenburg)</w:t>
      </w:r>
    </w:p>
    <w:p>
      <w:r>
        <w:rPr>
          <w:color w:val="555555"/>
          <w:sz w:val="18"/>
        </w:rPr>
        <w:t xml:space="preserve">Brandenburgisches Verwaltungsgerichtsgesetz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bei den Kreisgerichten - Kammern für Verwaltungssachen - anhängigen Verfahren gehen mit dem Inkrafttreten dieses Gesetzes mit Ausnahme der Baulandsachen in dem Stand, in dem sie sich befinden, auf das nach § 2 Abs. 1 zuständige Verwaltungsgericht über.</w:t>
      </w:r>
    </w:p>
    <w:p>
      <w:r>
        <w:t xml:space="preserve">(2) Die bei dem Bezirksgericht Potsdam - Senate für Verwaltungssachen - anhängigen Verfahren gehen mit dem Inkrafttreten dieses Gesetzes mit Ausnahme der Baulandsachen in dem Stand, in dem sie sich befinden, auf das Oberverwaltungsgericht über.</w:t>
      </w:r>
    </w:p>
    <w:p>
      <w:r>
        <w:rPr>
          <w:color w:val="555555"/>
          <w:sz w:val="17"/>
        </w:rPr>
        <w:t xml:space="preserve">Zitiervorschlag: § 12 BbgVwGG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https://recht.nulegal.eu/gesetze/BbgVwGG/12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