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BbgVfG (Brandenburg) — Inkrafttreten</w:t>
      </w:r>
    </w:p>
    <w:p>
      <w:r>
        <w:rPr>
          <w:color w:val="555555"/>
          <w:sz w:val="18"/>
        </w:rPr>
        <w:t xml:space="preserve">Brandenburgisches Versorgungsfondsgesetz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1. Januar 2009 in Kraft.</w:t>
      </w:r>
    </w:p>
    <w:p>
      <w:r>
        <w:t xml:space="preserve">Potsdam, den 19. Dezember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rPr>
          <w:color w:val="555555"/>
          <w:sz w:val="17"/>
        </w:rPr>
        <w:t xml:space="preserve">Zitiervorschlag: § 9 BbgVfG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https://recht.nulegal.eu/gesetze/BbgVfG/9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