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BbgVfG (Brandenburg) — Auflösung</w:t>
      </w:r>
    </w:p>
    <w:p>
      <w:r>
        <w:rPr>
          <w:color w:val="555555"/>
          <w:sz w:val="18"/>
        </w:rPr>
        <w:t xml:space="preserve">Brandenburgisches Versorgungsfondsgesetz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vollständiger Auszahlung des Sondervermögens gilt dieses als aufgelöst.</w:t>
      </w:r>
    </w:p>
    <w:p>
      <w:r>
        <w:rPr>
          <w:color w:val="555555"/>
          <w:sz w:val="17"/>
        </w:rPr>
        <w:t xml:space="preserve">Zitiervorschlag: § 8 BbgVfG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https://recht.nulegal.eu/gesetze/BbgVfG/8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