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BbgVfG (Brandenburg) — Zweck und Errichtung</w:t>
      </w:r>
    </w:p>
    <w:p>
      <w:r>
        <w:rPr>
          <w:color w:val="555555"/>
          <w:sz w:val="18"/>
        </w:rPr>
        <w:t xml:space="preserve">Brandenburgisches Versorgungsfondsgesetz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die Finanzierung der Versorgungsaufwendungen des in § 1 genannten Personenkreises, dessen Versorgungsanwartschaften auf einem erstmals nach dem 31. Dezember 2008 begründeten Beamten-, Richter- oder Amtsverhältnis beruhen. Für Anwartschaften, die bereits vor dem 1. Januar 2009 begründet worden sind, erfolgt eine Teilfinanzierung gemäß § 6 Abs. 3. Für die nach den Sätzen 1 und 2 begründeten Anwartschaften erfolgt ferner eine Teilfinanzierung gemäß § 6 Absatz 4.</w:t>
      </w:r>
    </w:p>
    <w:p>
      <w:r>
        <w:t xml:space="preserve">(2) Zur Finanzierung der Versorgungsaufwendungen des Landes Brandenburg für die in § 1 genannten Personen wird ein Sondervermögen im Sinne des § 26 Abs. 2 der Landeshaushaltsordnung unter dem Namen „Versorgungsfonds des Landes Brandenburg“ errichtet.</w:t>
      </w:r>
    </w:p>
    <w:p>
      <w:r>
        <w:rPr>
          <w:color w:val="555555"/>
          <w:sz w:val="17"/>
        </w:rPr>
        <w:t xml:space="preserve">Zitiervorschlag: § 2 BbgVfG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https://recht.nulegal.eu/gesetze/BbgVfG/2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