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BbgVersFreiV (Brandenburg) — Wiederherstellung der Erlaubnispflicht</w:t>
      </w:r>
    </w:p>
    <w:p>
      <w:r>
        <w:rPr>
          <w:color w:val="555555"/>
          <w:sz w:val="18"/>
        </w:rPr>
        <w:t xml:space="preserve">Versickerungsfreistellungsverordnung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Wasserbehörde kann, um eine Beeinträchtigung des Wohls der Allgemeinheit zu vermeiden, für zu bezeichnende Gebiete die Erlaubnispflicht für Niederschlagswassereinleitungen nach § 2 anordnen. In der Anordnung sind die betroffenen Flurstücke zu benennen. Die Anordnung ist öffentlich bekannt zu machen.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BbgVersFreiV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https://recht.nulegal.eu/gesetze/BbgVersFreiV/6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