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BbgVersFreiV (Brandenburg) — Erlaubnisfreie Einleitung von Niederschlagswasser</w:t>
      </w:r>
    </w:p>
    <w:p>
      <w:r>
        <w:rPr>
          <w:color w:val="555555"/>
          <w:sz w:val="18"/>
        </w:rPr>
        <w:t xml:space="preserve">Versickerungsfreistellungsverordnung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das Einleiten von Niederschlagswasser gemäß § 54 Absatz 1 Satz 1 Nummer 2 des Wasserhaushaltsgesetzes in das Grundwasser durch Versickerung ist eine Erlaubnis vorbehaltlich der §§ 3 und 5 nicht erforderlich, wenn die Anforderungen nach § 4 erfüllt sind und Anordnungen nach § 6 nicht bestehen. Die Versickerung von Niederschlagswasser, welches von genehmigungsfreien Bauvorhaben gemäß § 61 der Brandenburgischen Bauordnung stammt, ist unabhängig von Satz 1 erlaubnisfrei.</w:t>
      </w:r>
    </w:p>
    <w:p>
      <w:r>
        <w:t xml:space="preserve">(2) Anforderungen, die sich aus Schutzvorschriften zu Wasserschutzgebieten und aus anderen öffentlich-rechtlichen Vorschriften ergeben, bleiben unberührt.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BbgVersFreiV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https://recht.nulegal.eu/gesetze/BbgVersFreiV/2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