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BbgVersFreiV (Brandenburg) — Geltungsbereich</w:t>
      </w:r>
    </w:p>
    <w:p>
      <w:r>
        <w:rPr>
          <w:color w:val="555555"/>
          <w:sz w:val="18"/>
        </w:rPr>
        <w:t xml:space="preserve">Versickerungsfreistellungsverordnung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Flächen im Geltungsbereich der §§ 30, 34 und 35 des Baugesetzbuches. Sie gilt nicht für</w:t>
      </w:r>
    </w:p>
    <w:p>
      <w:r>
        <w:t xml:space="preserve">Flächen innerhalb der Schutzzonen I und II von Wasserschutzgebieten,</w:t>
      </w:r>
    </w:p>
    <w:p>
      <w:r>
        <w:t xml:space="preserve">Gebiete, deren Böden erheblich mit umweltgefährdenden Stoffen belastet sind und die im Bebauungsplan auf Grund § 9 Absatz 5 Nummer 3 des Baugesetzbuches dahingehend ausgewiesen sind,</w:t>
      </w:r>
    </w:p>
    <w:p>
      <w:r>
        <w:t xml:space="preserve">außerörtliche öffentliche Straßen gemäß § 3 Absatz 1 des Brandenburgischen Straßengesetzes sowie § 1 des Bundesfernstraßengesetzes.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BbgVersFreiV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https://recht.nulegal.eu/gesetze/BbgVersFreiV/1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