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BbgVermG (Brandenburg) — Einschränkung des Grundrechts auf Datenschutz</w:t>
      </w:r>
    </w:p>
    <w:p>
      <w:r>
        <w:rPr>
          <w:color w:val="555555"/>
          <w:sz w:val="18"/>
        </w:rPr>
        <w:t xml:space="preserve">Brandenburgisches Vermessungsgesetz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auf Datenschutz (Artikel 11 Abs. 1 der Verfassung des Landes Brandenburg) eingeschränkt.</w:t>
      </w:r>
    </w:p>
    <w:p>
      <w:r>
        <w:rPr>
          <w:color w:val="555555"/>
          <w:sz w:val="17"/>
        </w:rPr>
        <w:t xml:space="preserve">Zitiervorschlag: § 30 BbgVermG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https://recht.nulegal.eu/gesetze/BbgVermG/30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