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BbgVermG (Brandenburg) — Bußgeldvorschriften</w:t>
      </w:r>
    </w:p>
    <w:p>
      <w:r>
        <w:rPr>
          <w:color w:val="555555"/>
          <w:sz w:val="18"/>
        </w:rPr>
        <w:t xml:space="preserve">Brandenburgisches Vermessungsgesetz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entgegen § 10 Abs. 1, 4 und 6 personenbezogene Daten automatisiert abruft, ohne dazu ermächtigt zu sein,</w:t>
      </w:r>
    </w:p>
    <w:p>
      <w:r>
        <w:t xml:space="preserve">entgegen § 10 Abs. 9 die Veröffentlichung oder Weitergabe von Geobasisinformationen an Dritte nicht anzeigt oder Geobasisinformationen ohne Hinweis auf das Land Brandenburg als Inhaber der Rechte an den Geobasisdaten veröffentlicht oder weitergibt,</w:t>
      </w:r>
    </w:p>
    <w:p>
      <w:r>
        <w:t xml:space="preserve">entgegen § 24 Abs. 1 Vermessungsmarken, Grenzzeichen oder Sichtzeichen einbringt, verändert oder entfernt,</w:t>
      </w:r>
    </w:p>
    <w:p>
      <w:r>
        <w:t xml:space="preserve">entgegen § 24 Abs. 2 Satz 2 und 3 Stand, Erkennbarkeit oder Verwendbarkeit von Vermessungsmarken, Grenzzeichen oder Sichtzeichen gefährdet,</w:t>
      </w:r>
    </w:p>
    <w:p>
      <w:r>
        <w:t xml:space="preserve">entgegen § 24 Abs. 3 Schutzflächen von Festpunkten nach § 7 überbaut, abträgt oder auf sonstige Weise verändert.</w:t>
      </w:r>
    </w:p>
    <w:p>
      <w:r>
        <w:t xml:space="preserve">(2) Die Ordnungswidrigkeit kann mit einer Geldbuße bis zu fünfzigtausend Euro geahndet werden.</w:t>
      </w:r>
    </w:p>
    <w:p>
      <w:r>
        <w:t xml:space="preserve">(3) Verwaltungsbehörde im Sinne des § 36 Abs. 1 Nr. 1 des Gesetzes über Ordnungswidrigkeiten ist der Landesbetrieb LGB für Ordnungswidrigkeiten in seinem Zuständigkeitsbereich, ansonsten die Kreisordnungsbehörde.</w:t>
      </w:r>
    </w:p>
    <w:p>
      <w:r>
        <w:rPr>
          <w:color w:val="555555"/>
          <w:sz w:val="17"/>
        </w:rPr>
        <w:t xml:space="preserve">Zitiervorschlag: § 29 BbgVermG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https://recht.nulegal.eu/gesetze/BbgVermG/29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