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BbgVermG (Brandenburg) — Sonderaufsicht</w:t>
      </w:r>
    </w:p>
    <w:p>
      <w:r>
        <w:rPr>
          <w:color w:val="555555"/>
          <w:sz w:val="18"/>
        </w:rPr>
        <w:t xml:space="preserve">Brandenburgisches Vermessungsgesetz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für das amtliche Vermessungswesen zuständige oberste Landesbehörde führt die Sonderaufsicht über die Landkreise und kreisfreien Städte sowie über die Ämter, Verbandsgemeinden und amtsfreien Gemeinden, soweit sie Aufgaben nach § 26 Abs. 4 wahrnehmen. § 121 Abs. 2 bis 4 der Kommunalverfassung des Landes Brandenburg gilt entsprechend.</w:t>
      </w:r>
    </w:p>
    <w:p>
      <w:r>
        <w:rPr>
          <w:color w:val="555555"/>
          <w:sz w:val="17"/>
        </w:rPr>
        <w:t xml:space="preserve">Zitiervorschlag: § 28 BbgVermG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https://recht.nulegal.eu/gesetze/BbgVermG/28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