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BbgVermG (Brandenburg) — Katasterbehörden</w:t>
      </w:r>
    </w:p>
    <w:p>
      <w:r>
        <w:rPr>
          <w:color w:val="555555"/>
          <w:sz w:val="18"/>
        </w:rPr>
        <w:t xml:space="preserve">Brandenburgisches Vermessungsgesetz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Aufgaben der Katasterbehörden nehmen die Landkreise und kreisfreien Städte als Pflichtaufgaben zur Erfüllung nach Weisung wahr.</w:t>
      </w:r>
    </w:p>
    <w:p>
      <w:r>
        <w:t xml:space="preserve">(2) Die Erledigung der fachlichen Aufgaben muss unter der Leitung einer Beamtin oder eines Beamten des höheren vermessungstechnischen Verwaltungsdienstes oder einer oder eines Beschäftigten mit der entsprechenden Qualifikation erfolgen.</w:t>
      </w:r>
    </w:p>
    <w:p>
      <w:r>
        <w:rPr>
          <w:color w:val="555555"/>
          <w:sz w:val="17"/>
        </w:rPr>
        <w:t xml:space="preserve">Zitiervorschlag: § 27 BbgVermG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https://recht.nulegal.eu/gesetze/BbgVermG/27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