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BbgVermG (Brandenburg) — Inhalt des Liegenschaftskatasters</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Liegenschaftskataster enthält Daten zu den Liegenschaften, insbesondere die Geometrie, ausgewählte öffentlich-rechtliche Festlegungen, die Bezeichnung, Lage, Nutzungsart, Größe und die charakteristischen topographischen Eigenschaften. Es weist Eigentümerinnen und Eigentümer, Inhaberinnen und Inhaber grundstücksgleicher Rechte sowie ihre der Katasterbehörde bekannt gewordenen aktuellen Anschriften und Geburtsdaten nach. Zusätzlich können die Namen und Anschriften von Verfügungsberechtigten und von Bevollmächtigten der Eigentümerinnen und Eigentümer und der Inhaberinnen und Inhaber grundstücksgleicher Rechte geführt werden.</w:t>
      </w:r>
    </w:p>
    <w:p>
      <w:r>
        <w:t xml:space="preserve">(2) Fortführungen des Liegenschaftskatasters sind auf Antrag, aufgrund einer Mitteilung, aufgrund der Vorlage von Unterlagen oder von Amts wegen vorzunehmen.</w:t>
      </w:r>
    </w:p>
    <w:p>
      <w:r>
        <w:t xml:space="preserve">(3) Fehlerhafte Daten des Liegenschaftskatasters sind zu berichtigen.</w:t>
      </w:r>
    </w:p>
    <w:p>
      <w:r>
        <w:rPr>
          <w:color w:val="555555"/>
          <w:sz w:val="17"/>
        </w:rPr>
        <w:t xml:space="preserve">Zitiervorschlag: § 11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