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BbgVergGKV (Brandenburg) — Inkrafttreten</w:t>
      </w:r>
    </w:p>
    <w:p>
      <w:r>
        <w:rPr>
          <w:color w:val="555555"/>
          <w:sz w:val="18"/>
        </w:rPr>
        <w:t xml:space="preserve">Brandenburgische Vergabegesetz-Kommissionsverordnung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6. Juli 2012</w:t>
      </w:r>
    </w:p>
    <w:p>
      <w:r>
        <w:t xml:space="preserve">Der Minister für Arbeit,</w:t>
      </w:r>
    </w:p>
    <w:p>
      <w:r>
        <w:t xml:space="preserve">Soziales, Frauen und Familie</w:t>
      </w:r>
    </w:p>
    <w:p>
      <w:r>
        <w:t xml:space="preserve">Günter Baaske</w:t>
      </w:r>
    </w:p>
    <w:p>
      <w:r>
        <w:rPr>
          <w:color w:val="555555"/>
          <w:sz w:val="17"/>
        </w:rPr>
        <w:t xml:space="preserve">Zitiervorschlag: § 4 BbgVergGKV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https://recht.nulegal.eu/gesetze/BbgVergGKV/4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