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BbgVergGKV (Brandenburg) — Einrichtung der Kommission</w:t>
      </w:r>
    </w:p>
    <w:p>
      <w:r>
        <w:rPr>
          <w:color w:val="555555"/>
          <w:sz w:val="18"/>
        </w:rPr>
        <w:t xml:space="preserve">Brandenburgische Vergabegesetz-Kommissionsverordnung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für Arbeit zuständige Ministerium richtet die in § 7 Absatz 2 des Brandenburgischen Vergabegesetzes vorgesehene Kommission unabhängiger Mitglieder ein.</w:t>
      </w:r>
    </w:p>
    <w:p>
      <w:r>
        <w:t xml:space="preserve">(2) Das für Arbeit zuständige Ministerium führt die Geschäfte und den Vorsitz der Kommission. Die vorsitzende Person ist nicht stimmberechtigt.</w:t>
      </w:r>
    </w:p>
    <w:p>
      <w:r>
        <w:rPr>
          <w:color w:val="555555"/>
          <w:sz w:val="17"/>
        </w:rPr>
        <w:t xml:space="preserve">Zitiervorschlag: § 1 BbgVergGKV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https://recht.nulegal.eu/gesetze/BbgVergGKV/1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BbgVergGKV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