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BbgVergGErstV (Brandenburg) — Verfahren der Kostenerstattung</w:t>
      </w:r>
    </w:p>
    <w:p>
      <w:r>
        <w:rPr>
          <w:color w:val="555555"/>
          <w:sz w:val="18"/>
        </w:rPr>
        <w:t xml:space="preserve">Brandenburgische Vergabegesetz-Erstattungsverordnung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Anträge auf Erstattung der Kosten in Fallpauschalen nach § 1 sind in der Regel</w:t>
      </w:r>
    </w:p>
    <w:p>
      <w:r>
        <w:t xml:space="preserve">einmal kalenderjährlich für zwölf Monate beim für Wirtschaft zuständigen</w:t>
      </w:r>
    </w:p>
    <w:p>
      <w:r>
        <w:t xml:space="preserve">Ministerium als Erstattungsstelle einzureichen. Erstanträge sind mindestens für</w:t>
      </w:r>
    </w:p>
    <w:p>
      <w:r>
        <w:t xml:space="preserve">neun Monate und höchstens für 21 Monate zu stellen. Die Anträge sollen zusammen</w:t>
      </w:r>
    </w:p>
    <w:p>
      <w:r>
        <w:t xml:space="preserve">mit Anträgen nach § 3 für denselben Zeitraum eingereicht werden.</w:t>
      </w:r>
    </w:p>
    <w:p>
      <w:r>
        <w:t xml:space="preserve">(2)</w:t>
      </w:r>
    </w:p>
    <w:p>
      <w:r>
        <w:t xml:space="preserve">Anträge auf Kostenerstattung nach § 2 können bei der Erstattungsstelle zusammen</w:t>
      </w:r>
    </w:p>
    <w:p>
      <w:r>
        <w:t xml:space="preserve">mit den Anträgen nach Absatz 1 oder jederzeit nach der jeweiligen</w:t>
      </w:r>
    </w:p>
    <w:p>
      <w:r>
        <w:t xml:space="preserve">Schulungsmaßnahme einzeln eingereicht werden.</w:t>
      </w:r>
    </w:p>
    <w:p>
      <w:r>
        <w:t xml:space="preserve">(3)</w:t>
      </w:r>
    </w:p>
    <w:p>
      <w:r>
        <w:t xml:space="preserve">Die Voraussetzungen der Erstattung sind glaubhaft zu machen.</w:t>
      </w:r>
    </w:p>
    <w:p>
      <w:r>
        <w:t xml:space="preserve">Hierzu sind dem Antrag eine Aufstellung der der Kommune entstandenen Kosten nach</w:t>
      </w:r>
    </w:p>
    <w:p>
      <w:r>
        <w:t xml:space="preserve">den Zeitwerten des § 1 Absatz 2 und eine Aufstellung der Anzahl der</w:t>
      </w:r>
    </w:p>
    <w:p>
      <w:r>
        <w:t xml:space="preserve">Beschaffungsvorgänge beizufügen. Die Anzahl der Beschaffungsvorgänge ist nach</w:t>
      </w:r>
    </w:p>
    <w:p>
      <w:r>
        <w:t xml:space="preserve">den Wertgrenzen des § 1 Absatz 1 des Brandenburgischen Vergabegesetzes zu</w:t>
      </w:r>
    </w:p>
    <w:p>
      <w:r>
        <w:t xml:space="preserve">unterteilen. Bei Rückfragen der Erstattungsstelle sind Erläuterungen mündlich</w:t>
      </w:r>
    </w:p>
    <w:p>
      <w:r>
        <w:t xml:space="preserve">oder auf Verlangen schriftlich abzugeben.</w:t>
      </w:r>
    </w:p>
    <w:p>
      <w:r>
        <w:t xml:space="preserve">(4)</w:t>
      </w:r>
    </w:p>
    <w:p>
      <w:r>
        <w:t xml:space="preserve">Mit der Antragstellung bestätigt die Kommune, dass die</w:t>
      </w:r>
    </w:p>
    <w:p>
      <w:r>
        <w:t xml:space="preserve">Tätigkeiten, für deren Kosten eine Erstattung beantragt wird, in dem genannten</w:t>
      </w:r>
    </w:p>
    <w:p>
      <w:r>
        <w:t xml:space="preserve">Umfang nur durch die Umsetzung des Brandenburgischen Vergabegesetzes erbracht</w:t>
      </w:r>
    </w:p>
    <w:p>
      <w:r>
        <w:t xml:space="preserve">und nur die sich aus dem Antrag ergebenden Schadenersatzleistungen vereinnahmt worden sind.</w:t>
      </w:r>
    </w:p>
    <w:p>
      <w:r>
        <w:t xml:space="preserve">(5)</w:t>
      </w:r>
    </w:p>
    <w:p>
      <w:r>
        <w:t xml:space="preserve">Die Erstattungsstelle kann Stichproben vornehmen. Dazu kann sie Unterlagen</w:t>
      </w:r>
    </w:p>
    <w:p>
      <w:r>
        <w:t xml:space="preserve">anfordern oder sich beim Antragsteller vorlegen lassen.</w:t>
      </w:r>
    </w:p>
    <w:p>
      <w:r>
        <w:rPr>
          <w:color w:val="555555"/>
          <w:sz w:val="17"/>
        </w:rPr>
        <w:t xml:space="preserve">Zitiervorschlag: § 4 BbgVergGErstV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https://recht.nulegal.eu/gesetze/BbgVergGErstV/4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