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BbgVergGDV (Brandenburg) — Inkrafttreten</w:t>
      </w:r>
    </w:p>
    <w:p>
      <w:r>
        <w:rPr>
          <w:color w:val="555555"/>
          <w:sz w:val="18"/>
        </w:rPr>
        <w:t xml:space="preserve">Brandenburgische Vergabegesetz-Durchführungsverordnung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16. Oktober 2012</w:t>
      </w:r>
    </w:p>
    <w:p>
      <w:r>
        <w:t xml:space="preserve">Der Minister für Wirtschaft</w:t>
      </w:r>
    </w:p>
    <w:p>
      <w:r>
        <w:t xml:space="preserve">und Europaangelegenheiten</w:t>
      </w:r>
    </w:p>
    <w:p>
      <w:r>
        <w:t xml:space="preserve">Ralf Christoffers</w:t>
      </w:r>
    </w:p>
    <w:p>
      <w:r>
        <w:rPr>
          <w:color w:val="555555"/>
          <w:sz w:val="17"/>
        </w:rPr>
        <w:t xml:space="preserve">Zitiervorschlag: § 9 BbgVergGDV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https://recht.nulegal.eu/gesetze/BbgVergGDV/9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