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BbgVergGDV (Brandenburg) — Kontrollziel, Berechnungsvorgaben</w:t>
      </w:r>
    </w:p>
    <w:p>
      <w:r>
        <w:rPr>
          <w:color w:val="555555"/>
          <w:sz w:val="18"/>
        </w:rPr>
        <w:t xml:space="preserve">Brandenburgische Vergabegesetz-Durchführungsverordnung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Prüfung, ob die vereinbarten Arbeitsentgelte bezahlt werden, erfolgt durch Division des ermittelten Arbeitnehmerbruttoentgelts durch die Zahl der Stunden, für die es bezahlt wird. Arbeitsvertragliche oder tarifliche Zeitausgleichsmaßnahmen werden berücksichtigt.</w:t>
      </w:r>
    </w:p>
    <w:p>
      <w:r>
        <w:t xml:space="preserve">(2) Ein Monatsgehalt zuzüglich der auf den Monat umgerechneten unbedingt vereinbarten, nicht monatlich ausgezahlten Bruttoentgeltteile gleich welcher Bezeichnung wird mit drei vervielfältigt und durch dreizehn geteilt. Das dadurch ermittelte durchschnittliche Gehalt je Woche wird durch die Anzahl der Stunden der vereinbarten regelmäßigen wöchentlichen Arbeitszeit geteilt.</w:t>
      </w:r>
    </w:p>
    <w:p>
      <w:r>
        <w:t xml:space="preserve">(3) Nicht berücksichtigt werden:</w:t>
      </w:r>
    </w:p>
    <w:p>
      <w:r>
        <w:t xml:space="preserve">das Arbeitsentgelt nach § 43 des Strafvollzugsgesetzes vom 16. März 1976 ( BGBl. I S. 581, 2088; 1977 I S. 436), das zuletzt durch Artikel 10 Absatz 7 des Gesetzes vom 30. Oktober 2017 (BGBl. I S. 3618) geändert worden ist;</w:t>
      </w:r>
    </w:p>
    <w:p>
      <w:r>
        <w:t xml:space="preserve">das Arbeitsentgelt behinderter Menschen in anerkannten Werkstätten nach § 138 des Neunten Buches Sozialgesetzbuch – Rehabilitation und Teilhabe behinderter Menschen – (Artikel 1 des Gesetzes vom 19. Juni 2001, BGBl. I S. 1046), das zuletzt durch Artikel 165 des Gesetzes vom 29. März 2017 (BGBl. I S. 626) geändert worden ist;</w:t>
      </w:r>
    </w:p>
    <w:p>
      <w:r>
        <w:t xml:space="preserve">die Ausbildungsvergütung nach § 17 des Berufsbildungsgesetzes vom 23. März 2005 (BGBl. I S. 931), das zuletzt durch Artikel 14 des Gesetzes vom 17. Juli 2017 (BGBl. I S. 2581) geändert worden ist;</w:t>
      </w:r>
    </w:p>
    <w:p>
      <w:r>
        <w:t xml:space="preserve">das Taschengeld nach § 2 Nummer 4 des Bundesfreiwilligendienstgesetzes vom 28. April 2011 (BGBl. I S. 687), das zuletzt durch Artikel 15 Absatz 5 des Gesetzes vom 20. Oktober 2015 (BGBl. I S. 1722) geändert worden ist;</w:t>
      </w:r>
    </w:p>
    <w:p>
      <w:r>
        <w:t xml:space="preserve">das Taschengeld nach § 2 Nummer 3 des Jugendfreiwilligendienstegesetzes vom 16. Mai 2008 (BGBl. I S. 842), das durch Artikel 30 des Gesetzes vom 20. Dezember 2011 (BGBl. I S. 2854, 2923) geändert worden ist,</w:t>
      </w:r>
    </w:p>
    <w:p>
      <w:r>
        <w:t xml:space="preserve">und die diesen Entgelten, Vergütungen und Anerkennungen zugrunde liegenden Arbeitszeiten.</w:t>
      </w:r>
    </w:p>
    <w:p>
      <w:r>
        <w:rPr>
          <w:color w:val="555555"/>
          <w:sz w:val="17"/>
        </w:rPr>
        <w:t xml:space="preserve">Zitiervorschlag: § 2 BbgVergGDV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https://recht.nulegal.eu/gesetze/BbgVergGDV/2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