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BbgVergGDV (Brandenburg) — Kontrolle durch Arbeitsentgeltnachweise</w:t>
      </w:r>
    </w:p>
    <w:p>
      <w:r>
        <w:rPr>
          <w:color w:val="555555"/>
          <w:sz w:val="18"/>
        </w:rPr>
        <w:t xml:space="preserve">Brandenburgische Vergabegesetz-Durchführungsverordnung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Zur Kontrolle der Einhaltung der Vereinbarung über die Höhe von Arbeitsentgelten nach § 6 Absatz 2 sowie nach § 4 Absatz 1 des Brandenburgischen Vergabegesetzes fordert der Auftraggeber zu der mit dem Auftragnehmer vereinbarten Vorlage von Belegen über die Abrechnung und Zahlung von Arbeitsentgelten an seine bei der Leistungserbringung eingesetzten Beschäftigten und etwaige Beschäftigte von Nachunternehmern oder Personalverleihern als Unterlage auf. Die Aufforderung erfolgt zur Vorbereitung einer Abrechnung über vertragliche Leistungen je Vertrag oder, bei längerer Vertragslaufzeit, einer Abrechnung je Kalenderjahr. Der Auftraggeber kann die Anforderung auf Belege zu Teilleistungen oder Leistungsabschnitten und auf Belege zu einzelnen Beschäftigten oder Gruppen von Beschäftigten beschränken. Die Belege können anonymisierte oder pseudonymisierte Kopien sein, die die Zugehörigkeit zu jeweils einer Person, aber nicht die Identität dieser Person und deren sonstige persönliche Merkmale erkennen lassen sollen.</w:t>
      </w:r>
    </w:p>
    <w:p>
      <w:r>
        <w:t xml:space="preserve">(2) Auftraggeber und Auftragnehmer können bei jeder Leistungsart statt der Einreichung von Belegen zu einer Abrechnung über die Leistung auch die Vorlage von Belegen mit Erläuterungen oder im Beisein eines erläuterungsfähigen Vertreters des Auftragnehmers, die Vorlage von Sammelbelegen vereinbaren, wenn der Auftraggeber davon ausgehen kann, dass die von Absatz 1 abweichende Vorgehensweise eine gleichwertige Kontrolle ermöglicht. Eine Einigung auf eine Vorgehensweise anstelle der vertraglich vorgesehenen erfolgt nach Abschluss des Vertrages im Zuge der Umsetzung des Vertrages, ohne dass es einer besonderen Form bedarf, wenn die Ausführung und deren Dokumentation erfolgt.</w:t>
      </w:r>
    </w:p>
    <w:p>
      <w:r>
        <w:t xml:space="preserve">(3) Bei Bauleistungen, für die es Sozialkassenbescheinigungen für das Baugewerbe gibt, genügt zur Erfüllung der Anforderungen nach Absatz 1 eine Bescheinigung, die bei Eingang der ersten Rechnung nicht älter als sechs Monate ist. Liegt eine solche Bescheinigung aus dem Vergabeverfahren vor, wird nur bei längerer Vertragslaufzeit eine weitere Bescheinigung angefordert. Sonstige vergleichbare Bescheinigungen von freiwilligen Sozialkassen auch anderer Branchen können ebenso verwendet werden, wenn der Auftragnehmer glaubhaft darlegt, dass die zugrunde liegenden Arbeitsentgelte ausnahmslos das nach § 6 Absatz 2 einzuhaltende Entgelt erreichen oder übersteigen.</w:t>
      </w:r>
    </w:p>
    <w:p>
      <w:r>
        <w:rPr>
          <w:color w:val="555555"/>
          <w:sz w:val="17"/>
        </w:rPr>
        <w:t xml:space="preserve">Zitiervorschlag: § 1 BbgVergGDV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https://recht.nulegal.eu/gesetze/BbgVergGDV/1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