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BbgVerfSchG (Brandenburg) — Schutz des Kernbereichs privater Lebensgestaltung</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Datenerhebung darf nicht angeordnet werden, wenn tatsächliche Anhaltspunkte dafür vorliegen, dass dadurch nicht nur zufällig Daten erhoben werden, die dem Kernbereich privater Lebensgestaltung zuzurechnen sind.</w:t>
      </w:r>
    </w:p>
    <w:p>
      <w:r>
        <w:t xml:space="preserve">(2) Wenn sich während einer bereits laufenden Datenerhebung tatsächliche Anhaltspunkte dafür ergeben, dass Daten aus dem Kernbereich privater Lebensgestaltung erhoben werden, ist die Datenerhebung unverzüglich und so lange wie erforderlich zu unterbrechen, soweit dies informationstechnisch möglich ist und dadurch die Datenerhebung den Betroffenen nicht bekannt wird. Bereits erhobene Daten aus dem Kernbereich privater Lebensgestaltung dürfen nicht gespeichert, verändert, genutzt oder übermittelt werden; sie sind unverzüglich unter Aufsicht einer oder eines besonders bestellten, mit der Auswertung nicht befassten Beschäftigten, die oder der die Befähigung zum Richteramt hat, zu löschen. Die Tatsache, dass Daten aus dem Kernbereich privater Lebensgestaltung erhoben wurden, und deren Löschung sind zu dokumentieren. Die in der Dokumentation enthaltenen Daten dürfen ausschließlich zur Datenschutzkontrolle verwendet werden. § 3a Satz 4 bis 7 des Artikel 10-Gesetzes gilt entsprechend.</w:t>
      </w:r>
    </w:p>
    <w:p>
      <w:r>
        <w:t xml:space="preserve">(3) Ergeben sich erst bei der Speicherung, Veränderung oder Nutzung von Daten tatsächliche Anhaltspunkte dafür, dass Daten dem Kernbereich privater Lebensgestaltung zuzurechnen sind, so gilt Absatz 2 Satz 2 bis 5 entsprechend.</w:t>
      </w:r>
    </w:p>
    <w:p>
      <w:r>
        <w:t xml:space="preserve">(4) Daten aus dem durch das Berufsgeheimnis geschützten Vertrauensverhältnis nach den §§ 53 und 53a der Strafprozessordnung sind dem Kernbereich privater Lebensgestaltung zuzurechnen.</w:t>
      </w:r>
    </w:p>
    <w:p>
      <w:r>
        <w:t xml:space="preserve">(5) Bestehen Zweifel, ob Daten dem Kernbereich privater Lebensgestaltung zuzurechnen sind, so sind diese der Leiterin oder dem Leiter der Verfassungsschutzabteilung zur Entscheidung über die Zurechnung vorzulegen.</w:t>
      </w:r>
    </w:p>
    <w:p>
      <w:r>
        <w:rPr>
          <w:color w:val="555555"/>
          <w:sz w:val="17"/>
        </w:rPr>
        <w:t xml:space="preserve">Zitiervorschlag: § 7a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https://recht.nulegal.eu/gesetze/BbgVerfSchG/7a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