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BbgVerfSchG (Brandenburg) — Evaluierungsbericht</w:t>
      </w:r>
    </w:p>
    <w:p>
      <w:r>
        <w:rPr>
          <w:color w:val="555555"/>
          <w:sz w:val="18"/>
        </w:rPr>
        <w:t xml:space="preserve">Brandenburgisches Verfassungsschutzgesetz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Inneres zuständige Mitglied der Landesregierung erstattet dem Landtag bis zum 31. Dezember 2028 einen Evaluierungsbericht zu den Finanzermittlungen gemäß § 14a Absatz 2 Nummer 2 und der Kontostammdatenabfrage gemäß § 14a Absatz 5.</w:t>
      </w:r>
    </w:p>
    <w:p>
      <w:r>
        <w:rPr>
          <w:color w:val="555555"/>
          <w:sz w:val="17"/>
        </w:rPr>
        <w:t xml:space="preserve">Zitiervorschlag: § 30 BbgVerfSchG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https://recht.nulegal.eu/gesetze/BbgVerfSchG/30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