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BbgVerfSchG (Brandenburg) — Einschränkung von Grundrechten</w:t>
      </w:r>
    </w:p>
    <w:p>
      <w:r>
        <w:rPr>
          <w:color w:val="555555"/>
          <w:sz w:val="18"/>
        </w:rPr>
        <w:t xml:space="preserve">Brandenburgisches Verfassungsschutzgesetz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werden das Grundrecht des Briefgeheimnisses sowie des Post- und Fernmeldegeheimnisses (Artikel 10 des Grundgesetzes, Artikel 16 der Verfassung des Landes Brandenburg) und das Recht auf Datenschutz (Artikel 11 Absatz 1 der Verfassung des Landes Brandenburg) eingeschränkt.</w:t>
      </w:r>
    </w:p>
    <w:p>
      <w:r>
        <w:rPr>
          <w:color w:val="555555"/>
          <w:sz w:val="17"/>
        </w:rPr>
        <w:t xml:space="preserve">Zitiervorschlag: § 29 BbgVerfSchG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https://recht.nulegal.eu/gesetze/BbgVerfSchG/29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