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BbgVerfSchG (Brandenburg) — Parlamentarische Kontrollkommission</w:t>
      </w:r>
    </w:p>
    <w:p>
      <w:r>
        <w:rPr>
          <w:color w:val="555555"/>
          <w:sz w:val="18"/>
        </w:rPr>
        <w:t xml:space="preserve">Brandenburgisches Verfassungsschutzgesetz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In Angelegenheiten des Verfassungsschutzes unterliegt die Landesregierung unbeschadet der Rechte des Landtages der Kontrolle durch die Parlamentarische Kontrollkommission.</w:t>
      </w:r>
    </w:p>
    <w:p>
      <w:r>
        <w:rPr>
          <w:color w:val="555555"/>
          <w:sz w:val="17"/>
        </w:rPr>
        <w:t xml:space="preserve">Zitiervorschlag: § 23 BbgVerfSchG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https://recht.nulegal.eu/gesetze/BbgVerfSchG/23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