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BbgVerfSchG (Brandenburg) — Nachberichtspflicht</w:t>
      </w:r>
    </w:p>
    <w:p>
      <w:r>
        <w:rPr>
          <w:color w:val="555555"/>
          <w:sz w:val="18"/>
        </w:rPr>
        <w:t xml:space="preserve">Brandenburgisches Verfassungsschutzgesetz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Erweisen sich personenbezogene Daten nach ihrer Übermittlung gemäß den Vorschriften dieses Gesetzes als unvollständig oder unrichtig, so sind sie unverzüglich gegenüber der empfangenden Stelle zu berichtigen.</w:t>
      </w:r>
    </w:p>
    <w:p>
      <w:r>
        <w:t xml:space="preserve">Fünfter Abschnitt</w:t>
      </w:r>
    </w:p>
    <w:p>
      <w:r>
        <w:t xml:space="preserve">Parlamentarische Kontrolle</w:t>
      </w:r>
    </w:p>
    <w:p>
      <w:r>
        <w:rPr>
          <w:color w:val="555555"/>
          <w:sz w:val="17"/>
        </w:rPr>
        <w:t xml:space="preserve">Zitiervorschlag: § 22 BbgVerfSchG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https://recht.nulegal.eu/gesetze/BbgVerfSchG/22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