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BbgVerfSchG (Brandenburg) — Übermittlung personenbezogener Daten durch die Verfassungsschutzbehörde</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Verfassungsschutzbehörde darf personenbezogene Daten an inländische Behörden übermitteln, wenn dies zur Erfüllung ihrer Aufgaben erforderlich ist oder die empfangende Behörde die Daten zum Schutz vor Bestrebungen oder Tätigkeiten nach § 3 Absatz 1, zur Abwehr einer erheblichen Gefahr für die öffentliche Sicherheit oder zur Verfolgung einer Straftat von erheblicher Bedeutung (§ 4 Absatz 4) benötigt oder wenn eine andere gesetzliche Vorschrift dies vorsieht. Die Übermittlung ist festzuhalten. Die empfangende Behörde darf die übermittelten Daten, soweit gesetzlich nichts anderes bestimmt ist, nur zu dem Zweck verwenden, zu dem sie ihr übermittelt wurden.</w:t>
      </w:r>
    </w:p>
    <w:p>
      <w:r>
        <w:t xml:space="preserve">(2) Die Verfassungsschutzbehörde darf personenbezogene Daten an ausländische öffentliche Stellen sowie an über- und zwischenstaatliche Stellen übermitteln, wenn dies zum Schutz von Leib oder Leben oder zur Erfüllung eigener Aufgaben, insbesondere bei grenzüberschreitenden Bestrebungen oder Tätigkeiten im Sinne von § 3 Abs. 1, erforderlich ist. Die Übermittlung unterbleibt, wenn auswärtige Belange der Bundesrepublik Deutschland oder überwiegende schutzwürdige Interessen der betroffenen Person, insbesondere die Gefahr einer rechtsstaatswidrigen Verfolgung, entgegenstehen. Die Übermittlung ist festzuhalten. Die empfangende Stelle ist darauf hinzuweisen, daß die übermittelten Daten nur zu dem Zweck verwendet werden dürfen, zu dem sie ihr übermittelt wurden, und daß die Verfassungsschutzbehörde sich vorbehält, um Auskunft über die Verwendung der Daten zu bitten.</w:t>
      </w:r>
    </w:p>
    <w:p>
      <w:r>
        <w:t xml:space="preserve">(3) Personenbezogene Daten dürfen an andere Stellen nicht übermittelt werden, es sei denn, daß</w:t>
      </w:r>
    </w:p>
    <w:p>
      <w:r>
        <w:t xml:space="preserve">die betroffene Person zugestimmt hat,</w:t>
      </w:r>
    </w:p>
    <w:p>
      <w:r>
        <w:t xml:space="preserve">dies zum Schutz der freiheitlichen demokratischen Grundordnung, des Bestandes oder der Sicherheit des Bundes oder eines Landes oder</w:t>
      </w:r>
    </w:p>
    <w:p>
      <w:r>
        <w:t xml:space="preserve">zum Schutz der in § 3 Abs. 2 Nr. 2 genannten Einrichtungen erforderlich ist</w:t>
      </w:r>
    </w:p>
    <w:p>
      <w:r>
        <w:t xml:space="preserve">und der Minister des Innern oder von ihm besonders bestellte Beauftragte ihre Zustimmung im Einzelfall erteilt haben. Die Verfassungsschutzbehörde führt hierüber einen Nachweis, aus dem der Zweck der Übermittlung, ihre Veranlassung, die Fundstelle und der Empfänger hervorgehen. Der Nachweis ist gesondert aufzubewahren, gegen unberechtigten Zugriff zu sichern und am Ende des zweiten Kalenderjahres, das dem Jahr der Erstellung folgt, zu vernichten. Die empfangende Stelle darf die übermittelten Daten nur für den Zweck verwenden, zu dem sie ihr übermittelt wurden. Sie ist auf die Verwendungsbeschränkung und darauf hinzuweisen, daß die Verfassungsschutzbehörde sich vorbehält, um Auskunft über die Verwendung der Daten zu bitten.</w:t>
      </w:r>
    </w:p>
    <w:p>
      <w:r>
        <w:rPr>
          <w:color w:val="555555"/>
          <w:sz w:val="17"/>
        </w:rPr>
        <w:t xml:space="preserve">Zitiervorschlag: § 16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