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BbgVerfSchG (Brandenburg) — Registereinsicht durch die Verfassungsschutzbehörde</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Verfassungsschutzbehörde darf zur Aufklärung</w:t>
      </w:r>
    </w:p>
    <w:p>
      <w:r>
        <w:t xml:space="preserve">von sicherheitsgefährdenden oder geheimdienstlichen Tätigkeiten in der Bundesrepublik Deutschland für eine fremde Macht oder</w:t>
      </w:r>
    </w:p>
    <w:p>
      <w:r>
        <w:t xml:space="preserve">von Bestrebungen, die durch Anwendung von Gewalt oder darauf gerichtete Vorbereitungshandlungen gegen die freiheitliche demokratische Grundordnung, den Bestand oder die Sicherheit des Bundes oder eines Landes gerichtet sind, oder</w:t>
      </w:r>
    </w:p>
    <w:p>
      <w:r>
        <w:t xml:space="preserve">von Bestrebungen in der Bundesrepublik Deutschland, die durch Anwendung von Gewalt oder darauf gerichtete Vorbereitungshandlungen auswärtige Belange der Bundesrepublik Deutschland gefährden,</w:t>
      </w:r>
    </w:p>
    <w:p>
      <w:r>
        <w:t xml:space="preserve">von Bestrebungen, die durch Anwendung von Gewalt oder darauf gerichtete Vorbereitungshandlungen gegen den Gedanken der Völkerverständigung (Artikel 9 Abs. 2 des Grundgesetzes), insbesondere das friedliche Zusammenleben der Völker (Artikel 26 Abs. 1 des Grundgesetzes) gerichtet sind.</w:t>
      </w:r>
    </w:p>
    <w:p>
      <w:r>
        <w:t xml:space="preserve">von öffentlichen Stellen geführte Register einsehen.</w:t>
      </w:r>
    </w:p>
    <w:p>
      <w:r>
        <w:t xml:space="preserve">(2) Eine solche Einsichtnahme ist nur zulässig, wenn</w:t>
      </w:r>
    </w:p>
    <w:p>
      <w:r>
        <w:t xml:space="preserve">die Aufklärung auf andere Weise nicht möglich erscheint, insbesondere durch eine Übermittlung der Daten durch die registerführende Stelle der Zweck der Maßnahme gefährdet würde oder</w:t>
      </w:r>
    </w:p>
    <w:p>
      <w:r>
        <w:t xml:space="preserve">die betroffene Person durch eine anderweitige Aufklärung unverhältnismäßig beeinträchtigt würde und</w:t>
      </w:r>
    </w:p>
    <w:p>
      <w:r>
        <w:t xml:space="preserve">eine besondere gesetzliche Geheimhaltungsvorschrift oder ein Berufsgeheimnis der Einsichtnahme nicht entgegensteht.</w:t>
      </w:r>
    </w:p>
    <w:p>
      <w:r>
        <w:t xml:space="preserve">(3) Die Anordnung für die Maßnahme nach Absatz 1 trifft der Leiter der Verfassungsschutzabteilung im Ministerium des Innern, im Falle seiner Verhinderung sein Vertreter.</w:t>
      </w:r>
    </w:p>
    <w:p>
      <w:r>
        <w:t xml:space="preserve">(4) Die auf diese Weise gewonnenen Erkenntnisse dürfen nur zu den in Absatz 1 genannten Zwecken verwendet werden. Gespeicherte Informationen sind zu löschen und Unterlagen zu vernichten, sobald sie für diese Zwecke nicht mehr benötigt werden.</w:t>
      </w:r>
    </w:p>
    <w:p>
      <w:r>
        <w:t xml:space="preserve">(5) Über die Einsichtnahme ist ein gesonderter Nachweis zu führen, aus dem ihr Zweck, die in Anspruch genommene Stelle sowie die Namen der betroffenen Person, deren Daten für eine weitere Verwendung erforderlich sind, hervorgehen. Der Nachweis ist gesondert aufzubewahren, gegen unberechtigten Zugriff zu sichern und am Ende des zweiten Kalenderjahres, das dem Jahr der Erstellung folgt, zu vernichten.</w:t>
      </w:r>
    </w:p>
    <w:p>
      <w:r>
        <w:rPr>
          <w:color w:val="555555"/>
          <w:sz w:val="17"/>
        </w:rPr>
        <w:t xml:space="preserve">Zitiervorschlag: § 15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