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BbgVerfSchG (Brandenburg) — Zweck des Verfassungsschutzes; Auftrag der Verfassungsschutzbehörde</w:t>
      </w:r>
    </w:p>
    <w:p>
      <w:r>
        <w:rPr>
          <w:color w:val="555555"/>
          <w:sz w:val="18"/>
        </w:rPr>
        <w:t xml:space="preserve">Brandenburgisches Verfassungsschutzgesetz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Der Verfassungsschutz dient dem Schutz der freiheitlichen demokratischen Grundordnung, des Bestandes und der Sicherheit des Bundes und der Länder.</w:t>
      </w:r>
    </w:p>
    <w:p>
      <w:r>
        <w:t xml:space="preserve">(2) Die Verfassungsschutzbehörde unterrichtet die Landesregierung und andere zuständige Stellen über Gefahren für die freiheitliche demokratische Grundordnung, den Bestand und die Sicherheit des Bundes und der Länder. Dadurch soll es ihnen insbesondere ermöglicht werden, rechtzeitig die erforderlichen Maßnahmen zur Abwehr dieser Gefahren zu ergreifen.</w:t>
      </w:r>
    </w:p>
    <w:p>
      <w:r>
        <w:rPr>
          <w:color w:val="555555"/>
          <w:sz w:val="17"/>
        </w:rPr>
        <w:t xml:space="preserve">Zitiervorschlag: § 1 BbgVerfSchG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https://recht.nulegal.eu/gesetze/BbgVerfSchG/1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