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BbgVbBestV (Brandenburg) — Inkrafttreten, Außerkrafttreten</w:t>
      </w:r>
    </w:p>
    <w:p>
      <w:r>
        <w:rPr>
          <w:color w:val="555555"/>
          <w:sz w:val="18"/>
        </w:rPr>
        <w:t xml:space="preserve">Brandenburgische Vollstreckungsbehörden-Bestimmungsverordnung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</w:t>
      </w:r>
    </w:p>
    <w:p>
      <w:r>
        <w:t xml:space="preserve">Tag nach der Verkündung in Kraft und am 31. Dezember 2015 außer Kraft.</w:t>
      </w:r>
    </w:p>
    <w:p>
      <w:r>
        <w:t xml:space="preserve">Potsdam, den 23. Mai 2011</w:t>
      </w:r>
    </w:p>
    <w:p>
      <w:r>
        <w:t xml:space="preserve">Der Minister des Innern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BbgVbBestV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https://recht.nulegal.eu/gesetze/BbgVbBestV/2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