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BbgVbBestV (Brandenburg) — Vollstreckungsbehörde</w:t>
      </w:r>
    </w:p>
    <w:p>
      <w:r>
        <w:rPr>
          <w:color w:val="555555"/>
          <w:sz w:val="18"/>
        </w:rPr>
        <w:t xml:space="preserve">Brandenburgische Vollstreckungsbehörden-Bestimmungsverordnung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Aufgabe der Beitreibung</w:t>
      </w:r>
    </w:p>
    <w:p>
      <w:r>
        <w:t xml:space="preserve">von Zwangs- und Bußgeldern wird vom Amt für Statistik Berlin-Brandenburg</w:t>
      </w:r>
    </w:p>
    <w:p>
      <w:r>
        <w:t xml:space="preserve">wahrgenommen, soweit es diese festsetzt.</w:t>
      </w:r>
    </w:p>
    <w:p>
      <w:r>
        <w:rPr>
          <w:color w:val="555555"/>
          <w:sz w:val="17"/>
        </w:rPr>
        <w:t xml:space="preserve">Zitiervorschlag: § 1 BbgVbBestV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https://recht.nulegal.eu/gesetze/BbgVbBestV/1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