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BbgVStättV (Brandenburg) — Werkstätten, Magazine und Lagerräume</w:t>
      </w:r>
    </w:p>
    <w:p>
      <w:r>
        <w:rPr>
          <w:color w:val="555555"/>
          <w:sz w:val="18"/>
        </w:rPr>
        <w:t xml:space="preserve">Brandenburgische Versammlungsstättenverordnung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feuergefährliche Arbeiten, wie Schweiß-, Löt- oder Klebearbeiten, müssen dafür geeignete Werkstätten vorhanden sein.</w:t>
      </w:r>
    </w:p>
    <w:p>
      <w:r>
        <w:t xml:space="preserve">(2) Für das Aufbewahren von Dekorationen, Requisiten und anderem brennbaren Material müssen eigene Lagerräume (Magazine) vorhanden sein.</w:t>
      </w:r>
    </w:p>
    <w:p>
      <w:r>
        <w:t xml:space="preserve">(3) Für die Sammlung von Abfällen und Wertstoffen müssen dafür geeignete Behälter im Freien oder besondere Lagerräume vorhanden sein.</w:t>
      </w:r>
    </w:p>
    <w:p>
      <w:r>
        <w:t xml:space="preserve">(4) Werkstätten, Magazine und Lagerräume dürfen mit notwendigen Treppenräumen, über die Rettungswege für Besucher führen, nicht in unmittelbarer Verbindung stehen.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21 BbgVStättV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https://recht.nulegal.eu/gesetze/BbgVSt%C3%A4ttV/21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