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BbgVLTG (Brandenburg) — Kündigung</w:t>
      </w:r>
    </w:p>
    <w:p>
      <w:r>
        <w:rPr>
          <w:color w:val="555555"/>
          <w:sz w:val="18"/>
        </w:rPr>
        <w:t xml:space="preserve">Versorgungswerkgesetz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Eine Kündigung des Vertrages bedarf der Zustimmung des Landtages.</w:t>
      </w:r>
    </w:p>
    <w:p>
      <w:r>
        <w:rPr>
          <w:color w:val="555555"/>
          <w:sz w:val="17"/>
        </w:rPr>
        <w:t xml:space="preserve">Zitiervorschlag: § 5 BbgVLTG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https://recht.nulegal.eu/gesetze/BbgVLTG/5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