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BbgVEPPG (Brandenburg) — Versorgungsrechtliche Auswirkungen</w:t>
      </w:r>
    </w:p>
    <w:p>
      <w:r>
        <w:rPr>
          <w:color w:val="555555"/>
          <w:sz w:val="18"/>
        </w:rPr>
        <w:t xml:space="preserve">Brandenburgisches Versorgungs-EPP-Gesetz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Energiepreispauschale ist kein Versorgungsbezug im Sinne von § 4 des Brandenburgischen Beamtenversorgungsgesetzes und ist insoweit bei den Ruhens-, Anrechnungs- und Kürzungsvorschriften nach Abschnitt 3 des Brandenburgischen Beamtenversorgungsgesetzes nicht zu berücksichtigen.</w:t>
      </w:r>
    </w:p>
    <w:p>
      <w:r>
        <w:t xml:space="preserve">(2) Eine im Zusammenhang mit der Rente der gesetzlichen Rentenversicherung gezahlte Energiepreispauschale gilt nicht als Rente im Sinne von § 76 Absatz 1 des Brandenburgischen Beamtenversorgungsgesetzes.</w:t>
      </w:r>
    </w:p>
    <w:p>
      <w:r>
        <w:rPr>
          <w:color w:val="555555"/>
          <w:sz w:val="17"/>
        </w:rPr>
        <w:t xml:space="preserve">Zitiervorschlag: § 4 BbgVEPPG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https://recht.nulegal.eu/gesetze/BbgVEPPG/4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