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BbgVEPPG (Brandenburg) — Geltungsbereich</w:t>
      </w:r>
    </w:p>
    <w:p>
      <w:r>
        <w:rPr>
          <w:color w:val="555555"/>
          <w:sz w:val="18"/>
        </w:rPr>
        <w:t xml:space="preserve">Brandenburgisches Versorgungs-EPP-Gesetz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Dieses Gesetz regelt die Gewährung einer einmaligen Pauschale zur Abmilderung der zusätzlichen Belastungen durch die im Jahr 2022 erheblich gestiegenen Energiepreise (Energiepreispauschale).</w:t>
      </w:r>
    </w:p>
    <w:p>
      <w:r>
        <w:t xml:space="preserve">(2) Dieses Gesetz gilt für Personen, die Versorgungsbezüge nach Maßgabe des Brandenburgischen Beamtenversorgungsgesetzes erhalten.</w:t>
      </w:r>
    </w:p>
    <w:p>
      <w:r>
        <w:rPr>
          <w:color w:val="555555"/>
          <w:sz w:val="17"/>
        </w:rPr>
        <w:t xml:space="preserve">Zitiervorschlag: § 1 BbgVEPPG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https://recht.nulegal.eu/gesetze/BbgVEPPG/1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