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BbgVBauV (Brandenburg) — Brandabschnitte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Verkaufsstätten sind durch Brandwände in Brandabschnitte zu unterteilen. Die Fläche der Brandabschnitte darf je Geschoss betragen in</w:t>
      </w:r>
    </w:p>
    <w:p>
      <w:r>
        <w:t xml:space="preserve">erdgeschossigen Verkaufsstätten mit Feuerlöschanlagen nicht mehr als</w:t>
      </w:r>
    </w:p>
    <w:p>
      <w:r>
        <w:t xml:space="preserve">10 000 Quadratmeter,</w:t>
      </w:r>
    </w:p>
    <w:p>
      <w:r>
        <w:t xml:space="preserve">sonstigen Verkaufsstätten mit Feuerlöschanlagen nicht mehr als 5 000 Quadratmeter,</w:t>
      </w:r>
    </w:p>
    <w:p>
      <w:r>
        <w:t xml:space="preserve">erdgeschossigen Verkaufsstätten ohne Feuerlöschanlagen nicht mehr als</w:t>
      </w:r>
    </w:p>
    <w:p>
      <w:r>
        <w:t xml:space="preserve">3 000 Quadratmeter,</w:t>
      </w:r>
    </w:p>
    <w:p>
      <w:r>
        <w:t xml:space="preserve">sonstigen Verkaufsstätten ohne Feuerlöschanlagen nicht mehr als 1 500 Quadratmeter, wenn sich die Verkaufsstätten über nicht mehr als drei Geschosse erstrecken und die Gesamtfläche aller Geschosse innerhalb eines Brandabschnitts nicht mehr als</w:t>
      </w:r>
    </w:p>
    <w:p>
      <w:r>
        <w:t xml:space="preserve">3 000 Quadratmeter beträgt.</w:t>
      </w:r>
    </w:p>
    <w:p>
      <w:r>
        <w:t xml:space="preserve">(2) Abweichend von Absatz 1 können Verkaufsstätten mit Feuerlöschanlagen auch durch Ladenstraßen in Brandabschnitte unterteilt werden, wenn</w:t>
      </w:r>
    </w:p>
    <w:p>
      <w:r>
        <w:t xml:space="preserve">die Ladenstraßen bis zu ihrem oberen Abschluss in voller Höhe zusammenhängend mindestens 10 Meter breit sind; in diesen Ladenstraßen sind Einbauten oder Einrichtungen innerhalb dieser Breite unzulässig, ausgenommen sind Fahrtreppen und Aufzüge sowie Einrichtungen der technischen Gebäudeausrüstung, die der Ladenstraße dienen; § 13 Absatz 5 bleibt unberührt;</w:t>
      </w:r>
    </w:p>
    <w:p>
      <w:r>
        <w:t xml:space="preserve">die Ladenstraßen Öffnungen und Flächen für den Wärmeabzug von insgesamt 5 Prozent der Grundflächen der Ladenstraßen haben, die Öffnungen und Flächen möglichst an oberster Stelle liegen und regelmäßig angeordnet sind und Öffnungen einzeln eine freie Mindestfläche von 1 Quadratmeter aufweisen;</w:t>
      </w:r>
    </w:p>
    <w:p>
      <w:r>
        <w:t xml:space="preserve">das Tragwerk der Dächer der Ladenstraßen aus nichtbrennbaren Baustoffen besteht und die Bedachung der Ladenstraße die Anforderungen nach § 8 Absatz 2 Nummer 1 und Absatz 3 Nummer 1 erfüllt.</w:t>
      </w:r>
    </w:p>
    <w:p>
      <w:r>
        <w:t xml:space="preserve">(3) In Verkaufsstätten mit Feuerlöschanlagen brauchen Brandwände abweichend von Absatz 1 im Kreuzungsbereich mit Ladenstraßen nicht hergestellt zu werden, wenn</w:t>
      </w:r>
    </w:p>
    <w:p>
      <w:r>
        <w:t xml:space="preserve">die Ladenstraßen bis zu ihrem oberen Abschluss in voller Höhe eine zusammenhängende Breite über eine zusammenhängende Länge von jeweils mindestens 10 Meter beiderseits der Brandwände haben und</w:t>
      </w:r>
    </w:p>
    <w:p>
      <w:r>
        <w:t xml:space="preserve">die Anforderungen nach Absatz 2 Nummer 1 Halbsatz 2, Nummer 2 und 3 in diesem Bereich erfüllt sind.</w:t>
      </w:r>
    </w:p>
    <w:p>
      <w:r>
        <w:t xml:space="preserve">(4) Öffnungen in den Brandwänden nach Absatz 1 sind zulässig, wenn sie selbstschließende und feuerbeständige Abschlüsse haben. Die Abschlüsse müssen Feststellanlagen haben, die bei Raucheinwirkung ein selbsttätiges Schließen bewirken.</w:t>
      </w:r>
    </w:p>
    <w:p>
      <w:r>
        <w:t xml:space="preserve">(5) Brandwände sind mindestens 30 Zentimeter über Dach zu führen oder in Höhe der Dachhaut mit einer beiderseits 50 Zentimeter auskragenden feuerbeständigen Platte aus nichtbrennbaren Baustoffen abzuschließen; darüber dürfen brennbare Teile des Dachs nicht hinweggeführt werden.</w:t>
      </w:r>
    </w:p>
    <w:p>
      <w:r>
        <w:t xml:space="preserve">(6) § 30 Absatz 2 Nummer 1 der Brandenburgischen Bauordnung bleibt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