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BbgVBauV (Brandenburg) — Außenwände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Außenwände müssen bestehen aus</w:t>
      </w:r>
    </w:p>
    <w:p>
      <w:r>
        <w:t xml:space="preserve">nichtbrennbaren Baustoffen, soweit sie nicht feuerbeständig sind, bei Verkaufsstätten ohne Feuerlöschanlagen ,</w:t>
      </w:r>
    </w:p>
    <w:p>
      <w:r>
        <w:t xml:space="preserve">mindestens schwerentflammbaren Baustoffen, soweit sie nicht feuerbeständig sind, bei Verkaufsstätten mit Feuerlöschanlagen oder</w:t>
      </w:r>
    </w:p>
    <w:p>
      <w:r>
        <w:t xml:space="preserve">mindestens schwerentflammbaren Baustoffen, soweit sie nicht mindestens feuerhemmend sind, bei erdgeschossigen Verkaufsstätten.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