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BbgVBauV (Brandenburg) — Übergangsvorschriften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die zum Zeitpunkt des Inkrafttretens der Verordnung bestehenden Verkaufsstätten ist der betrieblich-organisatorische Brandschutz innerhalb von zwei Jahren § 27 entsprechend anzupassen.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32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