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BbgVBauV (Brandenburg) — Barrierefreie Stellplätze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Mindestens 3 Prozent der notwendigen Stellplätze, mindestens jedoch zwei Stellplätze, müssen barrierefrei sein. Auf diese Stellplätze ist dauerhaft und leicht erkennbar hinzuweisen.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28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