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BbgVBauV (Brandenburg) — Blitzschutzanlagen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Gebäude mit Verkaufsstätten müssen Blitzschutzanlagen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